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徽省医疗服务信息社会公开内容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2021年第一季度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2"/>
        <w:tblW w:w="9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03"/>
        <w:gridCol w:w="2155"/>
        <w:gridCol w:w="1227"/>
        <w:gridCol w:w="1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信息分类</w:t>
            </w: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指标项目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本期值数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上期值数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医疗机构等级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三级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重点（特色）专科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医疗费用</w:t>
            </w: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门诊患者人均医疗费用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317.32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346.76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出院患者人均医疗费用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15809.69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17478.54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药品占比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26.31%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31.52%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中药饮片占比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8.64%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耗材占比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4.87%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住院患者前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位单病种平均费用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31295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医疗机构住院患者单病种平均费用（见附件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3" w:rightChars="-111"/>
              <w:jc w:val="center"/>
              <w:rPr>
                <w:rFonts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31295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3" w:rightChars="-111"/>
              <w:jc w:val="center"/>
              <w:rPr>
                <w:rFonts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2.7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医保及新农合实际报销比例（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城镇职工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82%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84.25%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新农合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63.1%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城镇居民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lang w:val="en-US" w:eastAsia="zh-CN"/>
              </w:rPr>
              <w:t>67%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医疗质量</w:t>
            </w: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治愈好转率（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99.3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入出院诊断符合率（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84.2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手术前后诊断符合率（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82.6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急诊抢救成功率（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大型设备检查阳性率（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彩超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90.8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MRI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93.22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抗菌药物使用强度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32.69%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27.91%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门诊输液率（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无菌手术切口感染率（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住院患者压疮发生率（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8.1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运行效率</w:t>
            </w: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门诊挂号预约率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术前待床（天）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二类手术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3.70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三类手术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2.58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四类手术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3.90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病床使用率（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</w:tabs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63.9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出院者平均住院日（天）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3"/>
              </w:tabs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15.6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患者满意度</w:t>
            </w:r>
          </w:p>
        </w:tc>
        <w:tc>
          <w:tcPr>
            <w:tcW w:w="5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总体满意度（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99%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99%</w:t>
            </w:r>
          </w:p>
        </w:tc>
      </w:tr>
    </w:tbl>
    <w:p/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医疗机构住院患者单病种平均费用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2021年第一季度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）</w:t>
      </w:r>
    </w:p>
    <w:tbl>
      <w:tblPr>
        <w:tblStyle w:val="2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655"/>
        <w:gridCol w:w="2453"/>
        <w:gridCol w:w="162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疾病名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本期平均费用（元）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ICD-10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编码分类）</w:t>
            </w: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胃恶性肿瘤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58154.6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56464.02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乳腺癌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20757.12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18814.98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甲状腺癌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16705.84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14247.49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膝关节置换术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32724.45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52734.86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髋关节置换术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38804.39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79708.02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心力衰竭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12573.61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3163.43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慢阻肺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71461.24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8483.34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哮喘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13384.44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10100.11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社区获得性肺炎</w:t>
            </w: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17097.27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医院特色专科住院患者前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位单病种平均费用</w:t>
      </w:r>
    </w:p>
    <w:tbl>
      <w:tblPr>
        <w:tblStyle w:val="2"/>
        <w:tblW w:w="8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562"/>
        <w:gridCol w:w="1360"/>
        <w:gridCol w:w="146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疾病名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（按ICD-10编码分类）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术式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本期平均费用（元）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3"/>
    <w:rsid w:val="00001F34"/>
    <w:rsid w:val="000104E5"/>
    <w:rsid w:val="00042D41"/>
    <w:rsid w:val="00052863"/>
    <w:rsid w:val="000D2BA0"/>
    <w:rsid w:val="00195245"/>
    <w:rsid w:val="001C1B57"/>
    <w:rsid w:val="00251DB4"/>
    <w:rsid w:val="00294B02"/>
    <w:rsid w:val="002C647E"/>
    <w:rsid w:val="002E281C"/>
    <w:rsid w:val="003061C6"/>
    <w:rsid w:val="00330CA1"/>
    <w:rsid w:val="00333C65"/>
    <w:rsid w:val="003477BB"/>
    <w:rsid w:val="00424D11"/>
    <w:rsid w:val="00475B26"/>
    <w:rsid w:val="004775DB"/>
    <w:rsid w:val="004B4503"/>
    <w:rsid w:val="00520F70"/>
    <w:rsid w:val="00521F92"/>
    <w:rsid w:val="005961A9"/>
    <w:rsid w:val="00616A45"/>
    <w:rsid w:val="00633212"/>
    <w:rsid w:val="006537A1"/>
    <w:rsid w:val="00696276"/>
    <w:rsid w:val="006B3924"/>
    <w:rsid w:val="00760843"/>
    <w:rsid w:val="00786B79"/>
    <w:rsid w:val="00794386"/>
    <w:rsid w:val="007C6A08"/>
    <w:rsid w:val="00906F70"/>
    <w:rsid w:val="00922180"/>
    <w:rsid w:val="00A63A08"/>
    <w:rsid w:val="00CA0F80"/>
    <w:rsid w:val="00DD28B8"/>
    <w:rsid w:val="00DE329E"/>
    <w:rsid w:val="00E064B1"/>
    <w:rsid w:val="00E351CC"/>
    <w:rsid w:val="00EC7D6E"/>
    <w:rsid w:val="00FA4815"/>
    <w:rsid w:val="00FB16B3"/>
    <w:rsid w:val="00FD7EF5"/>
    <w:rsid w:val="07C75901"/>
    <w:rsid w:val="09534805"/>
    <w:rsid w:val="0B1031EF"/>
    <w:rsid w:val="0B9D30DC"/>
    <w:rsid w:val="0BDE4F32"/>
    <w:rsid w:val="0DB862CA"/>
    <w:rsid w:val="0F7A3BD6"/>
    <w:rsid w:val="0F8152F1"/>
    <w:rsid w:val="11B34080"/>
    <w:rsid w:val="11F5042A"/>
    <w:rsid w:val="126E3B42"/>
    <w:rsid w:val="12845DDB"/>
    <w:rsid w:val="12CC4065"/>
    <w:rsid w:val="12E50F59"/>
    <w:rsid w:val="131F59D7"/>
    <w:rsid w:val="14692455"/>
    <w:rsid w:val="16B63D3A"/>
    <w:rsid w:val="1A45055B"/>
    <w:rsid w:val="1B0A245C"/>
    <w:rsid w:val="1DB747E2"/>
    <w:rsid w:val="203A7FE9"/>
    <w:rsid w:val="21A51AF2"/>
    <w:rsid w:val="240A2FA2"/>
    <w:rsid w:val="25653F97"/>
    <w:rsid w:val="25826AAA"/>
    <w:rsid w:val="26C16B03"/>
    <w:rsid w:val="2A2318DA"/>
    <w:rsid w:val="2CFF7215"/>
    <w:rsid w:val="2D7C6D16"/>
    <w:rsid w:val="2EC34313"/>
    <w:rsid w:val="30AA2800"/>
    <w:rsid w:val="316E2808"/>
    <w:rsid w:val="31A15AD5"/>
    <w:rsid w:val="34D62545"/>
    <w:rsid w:val="35DF1071"/>
    <w:rsid w:val="36156569"/>
    <w:rsid w:val="391C44CD"/>
    <w:rsid w:val="39EF375C"/>
    <w:rsid w:val="41DA6DD4"/>
    <w:rsid w:val="44430954"/>
    <w:rsid w:val="44D33901"/>
    <w:rsid w:val="46E81110"/>
    <w:rsid w:val="47E6266C"/>
    <w:rsid w:val="48F06F13"/>
    <w:rsid w:val="4AF619D0"/>
    <w:rsid w:val="4C650B1F"/>
    <w:rsid w:val="4C810C03"/>
    <w:rsid w:val="4DE83437"/>
    <w:rsid w:val="50F325CD"/>
    <w:rsid w:val="53440E18"/>
    <w:rsid w:val="53FB3851"/>
    <w:rsid w:val="544752B4"/>
    <w:rsid w:val="546E112D"/>
    <w:rsid w:val="54D60B28"/>
    <w:rsid w:val="54F432A8"/>
    <w:rsid w:val="574A43D3"/>
    <w:rsid w:val="5B313C37"/>
    <w:rsid w:val="61A14E86"/>
    <w:rsid w:val="61DB1C13"/>
    <w:rsid w:val="62AA4202"/>
    <w:rsid w:val="642B4400"/>
    <w:rsid w:val="658465D6"/>
    <w:rsid w:val="6AE40942"/>
    <w:rsid w:val="6B667AED"/>
    <w:rsid w:val="6DA815F5"/>
    <w:rsid w:val="6E9E1D08"/>
    <w:rsid w:val="70FA2F3C"/>
    <w:rsid w:val="70FE0D3A"/>
    <w:rsid w:val="71BC5390"/>
    <w:rsid w:val="751D1534"/>
    <w:rsid w:val="757C4553"/>
    <w:rsid w:val="78663D9C"/>
    <w:rsid w:val="78A90743"/>
    <w:rsid w:val="79023C85"/>
    <w:rsid w:val="7963563E"/>
    <w:rsid w:val="7C8E3BA4"/>
    <w:rsid w:val="7FB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1374</Characters>
  <Lines>11</Lines>
  <Paragraphs>3</Paragraphs>
  <TotalTime>0</TotalTime>
  <ScaleCrop>false</ScaleCrop>
  <LinksUpToDate>false</LinksUpToDate>
  <CharactersWithSpaces>1612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2018-05-02T07:20:00Z</dcterms:created>
  <dc:creator>xb21cn</dc:creator>
  <cp:lastModifiedBy>心音手语</cp:lastModifiedBy>
  <cp:lastPrinted>2021-04-30T02:12:00Z</cp:lastPrinted>
  <dcterms:modified xsi:type="dcterms:W3CDTF">2021-05-10T08:47:23Z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CC109EFFB50443EA855508E192944F88</vt:lpwstr>
  </property>
</Properties>
</file>