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工程监理技术服务</w:t>
      </w: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报价表</w:t>
      </w:r>
      <w:bookmarkEnd w:id="0"/>
    </w:p>
    <w:tbl>
      <w:tblPr>
        <w:tblStyle w:val="3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890"/>
        <w:gridCol w:w="2535"/>
        <w:gridCol w:w="17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单价（费率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数量（万元）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概算投资额（万元）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429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人民币：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工程监理报价费率以百分比计算，结算金额以万元为单位；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2、结算金额以最终概算投资额为准（以工程决算金额为确定方式），据实结算。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3880"/>
    <w:rsid w:val="1B6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2020-01-14T06:20:00Z</dcterms:created>
  <dc:creator>等风来</dc:creator>
  <cp:lastModifiedBy>等风来</cp:lastModifiedBy>
  <dcterms:modified xsi:type="dcterms:W3CDTF">2020-01-14T06:21:28Z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