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报价表</w:t>
      </w:r>
    </w:p>
    <w:tbl>
      <w:tblPr>
        <w:tblStyle w:val="3"/>
        <w:tblW w:w="88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49"/>
        <w:gridCol w:w="2175"/>
        <w:gridCol w:w="2205"/>
        <w:gridCol w:w="2235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指标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单价（元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*点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(点*次/年)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一、微生物指标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总大肠菌数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耐热大肠菌数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大肠埃希氏菌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菌落总数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二、毒理指标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砷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铬（六价）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汞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氰化物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氟化物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硝酸盐（以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N计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三氯甲烷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四氯化碳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三、感官性状和一般化学指标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色度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浑浊度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肉眼可见物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PH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铝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铁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锰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铜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锌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氯化物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硫酸盐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溶解性总固体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耗氧量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挥发酚类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阴离子合成洗涤剂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874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  <w:t>四、消毒剂常规指标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4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氯气及游离氯制剂（游离氯）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5*2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46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费用合计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备注：“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5*2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”表示一年检测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次，每次取样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5个点位，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每半年检测一次。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D0093"/>
    <w:rsid w:val="5B3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2019-05-24T03:12:00Z</dcterms:created>
  <dc:creator>后勤 盛飞</dc:creator>
  <cp:lastModifiedBy>后勤 盛飞</cp:lastModifiedBy>
  <dcterms:modified xsi:type="dcterms:W3CDTF">2019-05-24T03:44:40Z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