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微软雅黑" w:hAnsi="微软雅黑" w:eastAsia="微软雅黑" w:cs="微软雅黑"/>
          <w:sz w:val="44"/>
          <w:szCs w:val="44"/>
          <w:lang w:eastAsia="zh-CN"/>
        </w:rPr>
      </w:pPr>
      <w:r>
        <w:rPr>
          <w:rFonts w:hint="eastAsia" w:ascii="微软雅黑" w:hAnsi="微软雅黑" w:eastAsia="微软雅黑" w:cs="微软雅黑"/>
          <w:sz w:val="44"/>
          <w:szCs w:val="44"/>
          <w:lang w:eastAsia="zh-CN"/>
        </w:rPr>
        <w:t>物资搬运报价文件</w:t>
      </w:r>
    </w:p>
    <w:tbl>
      <w:tblPr>
        <w:tblStyle w:val="3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9"/>
        <w:gridCol w:w="1901"/>
        <w:gridCol w:w="1654"/>
        <w:gridCol w:w="1187"/>
        <w:gridCol w:w="1421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项目内容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数量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单价（元）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常用医疗器（非设备）械、行政办公家具等，踏勘现场报价</w:t>
            </w:r>
          </w:p>
        </w:tc>
        <w:tc>
          <w:tcPr>
            <w:tcW w:w="1654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项/8小时*不少于5人</w:t>
            </w:r>
          </w:p>
        </w:tc>
        <w:tc>
          <w:tcPr>
            <w:tcW w:w="118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42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901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4262" w:type="dxa"/>
            <w:gridSpan w:val="3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人民币：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备注：本报价包括税票、人工费、装卸费、工具使用费、车旅费等与之相关的一切费用。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0F3293"/>
    <w:rsid w:val="2D92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后勤 盛飞</cp:lastModifiedBy>
  <dcterms:modified xsi:type="dcterms:W3CDTF">2019-05-10T02:20:47Z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